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16 vom 10. Juni 2013</w:t>
      </w:r>
    </w:p>
    <w:p>
      <w:r>
        <w:t>VS Kantonsgericht, 2013-06-10, FR</w:t>
      </w:r>
    </w:p>
    <w:p>
      <w:r>
        <w:rPr>
          <w:b/>
        </w:rPr>
        <w:t xml:space="preserve">Quelle: </w:t>
      </w:r>
      <w:r>
        <w:t>https://mcp.opencaselaw.ch/entscheid/vs_gerichte_P1 13 16</w:t>
      </w:r>
    </w:p>
    <w:p>
      <w:r>
        <w:t>FR: VS_GERICHTE P1 13 16 du 10 juin 2013</w:t>
      </w:r>
    </w:p>
    <w:p>
      <w:r>
        <w:t>IT: VS_GERICHTE P1 13 16 del 10 giugno 2013</w:t>
      </w:r>
    </w:p>
    <w:p>
      <w:pPr>
        <w:pStyle w:val="Heading2"/>
      </w:pPr>
      <w:r>
        <w:t>Regeste</w:t>
      </w:r>
    </w:p>
    <w:p>
      <w:r>
        <w:t>JUGPEN /11 P1 13 16 JUGEMENT DU 10 JUIN 2013 Tribunal des districts d’Hérens et Conthey le juge III des districts d'hérens et conthey M. Lin-Noël Perruchoud, assisté de Me Sylvie Carruzzo, greffière, siégeant au Tribunal d’Hérens-Conthey, à Sion en la cause pénale Le Ministère public, représenté par M. A_________ contre X_________, prévenu, représenté par Maître B_________ (conduite en état d’ébriété qualifiée)</w:t>
      </w:r>
    </w:p>
    <w:p>
      <w:pPr>
        <w:pStyle w:val="Heading2"/>
      </w:pPr>
      <w:r>
        <w:t>Erwägungen</w:t>
      </w:r>
    </w:p>
    <w:p>
      <w:r>
        <w:rPr>
          <w:b/>
        </w:rPr>
        <w:t>E. 1</w:t>
      </w:r>
    </w:p>
    <w:p>
      <w:r>
        <w:t>a) Agé de xxx ans, X_________, ancien policier, est retraité. Divorcé, X_________ vit seul, son frère F_________ lui apportant une aide administrative. Il rencontre des problèmes familiaux qui ont entraîné un état dépressif itératif et il souffre d’alcoolisme occasionnel. Il est suivi par le Dr D_________, médecin généraliste qui a établi un</w:t>
      </w:r>
    </w:p>
    <w:p>
      <w:r>
        <w:t>- 4 - rapport médical donnant quelques informations supplémentaires sur la personnalité de l’accusé. Ainsi X_________ souffre de dépression depuis 1999, maladie ayant justifié l’octroi de prestations AI. C’est dans le contexte d’une décompensation dépressive que le prévenu s’alcoolise occasionnellement. X_________ a refusé toute prise en charge psychiatrique. Il se contente ainsi de prendre des antidépresseurs et des anxiolytiques, arrêtant tout traitement dès qu’il constate une amélioration de son état. Actuellement, il est au bénéfice d’une rente AVS de 2'079 fr. par mois et d’une rente LPP de 3'883 fr. par mois. Il est propriétaire de sa maison qui est grevée d’une hypothèque de 260'000 francs qu’il rembourse à hauteur de 1'700 francs mensuel. Il verse par ailleurs une contribution d’entretien mensuelle de 767 fr. à son ex-épouse. Sa prime d’assurance maladie s’élève à 334 fr. 50 par mois. S’agissant des impôts, il verse 3'482 fr. pour les impôts cantonaux, 6'000 fr. environ pour les impôts communaux et 680 fr. pour l’impôt fédéral par année. b) Le 8 août 2012, X_________ a circulé au volant de sa voiture C_________ sur la route G_________, devant son domicile. Alors qu’il effectuait une marche arrière, il a brusquement accéléré, son véhicule allant s’immobiliser contre le mur de sa maison, les roues situées sur la gauche du véhicule demeurant en équilibre au-dessus d’un talus. X_________ n’a pas pris garde à la position périlleuse dans laquelle se trouvait son véhicule lorsqu’il en est sorti. Il a ainsi chuté dans le talus d’une hauteur de</w:t>
      </w:r>
    </w:p>
    <w:p>
      <w:r>
        <w:rPr>
          <w:b/>
        </w:rPr>
        <w:t>E. 4</w:t>
      </w:r>
    </w:p>
    <w:p>
      <w:r>
        <w:t>a) En l'espèce, le dossier ne révèle que fort peu de renseignements sur l'accusé et sur sa personnalité qui transparaît cependant dans le rapport médical du Dr D_________. Ainsi X_________ souffre de dépression depuis 1999 et rencontre actuellement des problèmes familiaux. C’est dans ce contexte de décompensation dépressive que le prévenu s’alcoolise occasionnellement. X_________ a cependant refusé toute prise en charge psychiatrique, ce qui dénote une faible capacité d’introspection et de remise en question. Il se contente ainsi de prendre des antidépresseurs et des anxiolytiques, arrêtant tout traitement dès qu’il constate une amélioration de son état de santé. Postérieurement aux infractions commises, le centre médico-social du I_________ a entrepris une prise en charge quotidienne avec livraison de repas chaud et aide médicale pour ce prévenu dont le réseau social semble peu étoffé. S’agissant de son attitude en procédure, X_________ a constamment tenté de minimiser sa faute, allant jusqu’à inventer une consommation d’alcool postérieure à son accident lors de l’événement du 8 août 2012. Il affirme même devant la présente Cour n’avoir pris que des médicaments le 5 septembre 2012, malgré les analyses claires qui font état d’un taux d’alcoolémie de 2.09 g/kg à 11h15. Cette attitude de déni de la réalité et d’absence totale de remise en cause de son comportement démontrent que X_________ n’a absolument pas pris conscience de sa consommation excessive d’alcool, des infractions qu’il a commises et de leur gravité. Les antécédents judiciaires de l'accusé en matière de circulation routière sont mauvais. Son casier fait en effet état d'une condamnation à 45 jours-amende à 140 fr. avec</w:t>
      </w:r>
    </w:p>
    <w:p>
      <w:r>
        <w:t>- 9 - sursis durant deux ans et une amende de 1’000 fr., pour conducteur se trouvant en incapacité de conduire (véhicule autom., taux alcoolémie qualifié), condamnation prononcée le 13 juillet 2011 par le Ministère public. A titre de circonstance aggravante, il y a lieu de retenir le concours réel d'infractions au sens de l'art. 49 al. 1 CP. b) Les fautes commises par X_________ sont graves. Alors qu’il se trouvait encore dans le délai de mise à l’épreuve d'une précédente condamnation, l'intéressé n'a pas hésité reprendre le volant après avoir pris des antidépresseurs et en étant fortement sous l'emprise de l'alcool. Vu le taux d'alcoolémie important présenté une nouvelle fois par l'accusé, on peut sans autre retenir que ce dernier est un consommateur à risque, ce qu'il ne pouvait ignorer depuis sa précédente condamnation. Depuis celle-ci, l'accusé n'avait pris aucune mesure pour tempérer sa consommation d'alcool ou s'abstenir de prendre le volant en ayant consommé de l'alcool. Au contraire, alors que son médecin lui avait prescrit des antidépresseurs, l’accusé les a combinés avec une dose massive d’alcool. Bien plus, alors qu’il a provoqué un accident sous l’influence de l’alcool et des médicaments et été hospitalisé de ce fait, X_________ récidive à peine un mois plus tard, avec un taux d’alcoolémie à nouveau extrêmement élevé. Persister à conduire en étant fortement alcoolisé et au mépris de la sécurité des autres usagers atteste d'une faiblesse de caractère et d'un penchant irrésistible pour un certain type de délinquance routière. La mise en danger des autres usagers de la route était par ailleurs importante, les deux infractions ayant été réalisées à des heures où le trafic peut être important. Sa conduite était par ailleurs objectivement dangereuse dès lors qu’il s’est blessé le 8 août 2012 et a endommagé son véhicule le 5 septembre 2012. c) S’agissant de sa motivation, X_________ n’a tenu aucun compte de la sécurité des autres usagers de la route, ne limitant égoïstement pas sa liberté de déplacement automobile ou sa consommation d’alcool. Il lui aurait par ailleurs été aisé de renoncer à prendre le volant et demander de l’aide à un tiers. Au vu de ce qui précède, une condamnation à une peine de 60 jours-amende, paraît être une peine appropriée pour sanctionner les fautes graves commises par l'accusé.</w:t>
      </w:r>
    </w:p>
    <w:p>
      <w:r>
        <w:rPr>
          <w:b/>
        </w:rPr>
        <w:t>E. 5</w:t>
      </w:r>
    </w:p>
    <w:p>
      <w:r>
        <w:t>a) A teneur de l'art. 34 al. 2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 amende est de 3'000 fr. au plus et d'au moins 10 fr. (ATF 135 IV 180 consid. 1).</w:t>
      </w:r>
    </w:p>
    <w:p>
      <w:r>
        <w:t>- 10 - b) L'objectif de la peine pécuniaire est de sanctionner l'auteur sur la part de son revenu quotidien qu'il n'attribue pas à ses charges absolument indispensables. Dans la fixation du montant du jour-amende, le juge – qui bénéficie d'un large pouvoir d'appréciation – peut se référer utilement aux critères élaborés en droit de la famille. Il détermine d'abord l'ensemble des revenus, soit notamment les revenus de l'activité lucrative, les rentes, les pensions, les revenus de titres et de la fortune immobilière et les prestations en nature. Si l'auteur renonce volontairement à travailler ou à être mieux rémunéré, le Juge peut se fonder sur le revenu présumé qu'on peut attendre de lui. Si l'auteur perçoit des revenus irréguliers, il convient de se baser sur son revenu moyen (ATF 134 IV 60 consid. 5 et 6). De ce revenu, sont ensuite déduits les frais courants et indispensables. On peut à cet égard retenir le montant de base du minimum vital, qui comprend les frais pour l'alimentation, les vêtements et le linge, les soins corporels et de santé, l'entretien du logement, les frais culturels ainsi que les dépenses pour l'éclairage, le courant électrique ou le gaz. Ce montant de base s'élève à 1'200 fr. pour une personne seule, à 1'350 fr. pour une personne seule avec obligation de soutien et à 1'700 fr. pour un couple ou deux adultes formant une communauté domestique durable. Doivent être ajoutés à ce montant de base les charges sociales dues sur le produit du travail, les primes d'assurance maladie et accidents, les frais professionnels et les impôts, de même que les obligations d'assistance qui ont été fixées judiciairement ou que le Juge doit déterminer selon les normes du droit de la famille. Ne doivent en revanche pas être pris en compte les montants consacrés au loyer et intérêts hypothécaires, à l'épargne, à l'amortissement des dettes, les frais relatifs à une résidence secondaire, à un véhicule à usage privé, les primes d'assurance sur la vie, les frais de téléphone portable, les coûts des loisirs et des vacances. Par ailleurs, des correctifs peuvent être apportés notamment en cas de disproportion importante entre les revenus déclarés et la fortune ou le train de vie élevé de l'auteur (ATF 134 IV 60 consid. 5 et 6). c) Comme retenu ci-dessus (consid. 1.a), X_________ est au bénéfice d’une rente AVS de 2'079 fr., ainsi que d’une rente de prévoyance professionnelle de 3'883 francs. Ses charges mensuelles courantes sont constituées par sa cotisation d’assurance maladie (334 fr. 50), la contribution d’entretien à son ex-épouse (767 fr.) et ses impôts (847 fr. environ). En tenant compte d’un minimum vital de 1'200 fr. mensuel, il lui reste un solde de 2'813 fr. 50 mensuel, ce qui permet de fixer le montant du jour-amende à 90 francs.</w:t>
      </w:r>
    </w:p>
    <w:p>
      <w:r>
        <w:t>- 11 -</w:t>
      </w:r>
    </w:p>
    <w:p>
      <w:r>
        <w:rPr>
          <w:b/>
        </w:rPr>
        <w:t>E. 6</w:t>
      </w:r>
    </w:p>
    <w:p>
      <w:r>
        <w:t>a) 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La commission d'une nouvelle infraction n'est cependant pas en soi un motif de révocation. Seule une réduction sensible des perspectives de succès de la mise à l'épreuve que laisse entrevoir la nouvelle infraction peut justifier la révocation. Autrement dit un comportement ne peut entraîner une révocation de sursis que s'il dénote un risque de commettre de nouvelles infractions. Il doit donc obligatoirement être associé à un risque de nouvelles infractions (Message in FF 1999 p. 1862 ss). Par analogie avec l'art. 42 al. 1 et 2 CP, le juge se fonde sur une appréciation globale des circonstances du cas d'espèce pour estimer le risque d'une récidive (Schwarzenegger/Hug/Jositch, Commentaire bâlois, n. 35 ad art. 46 CP). Afin de déterminer les chances d'amendement du condamné, le juge doit prendre en considération l'effet dissuasif que la nouvelle peine peut exercer si elle est exécutée (ATF 116 IV 177 consid. 3d). b) Au vu de l’art. 46 CP et de la récidive intervenue dans le délai de mise à l’épreuve, la révocation du sursis doit être envisagée. En l’espèce, X_________ a récidivé à peine un mois après une interpellation en état d’ébriété et alors qu’il avait déjà subi une précédente condamnation. Le séquestre de son véhicule et le retrait de son permis de conduire l’ont certes empêché de commettre de nouvelles infractions depuis lors. Il y a cependant lieu de craindre, vu l’absence de prise de conscience du prévenu évoquée ci-avant, que X_________ ne récidive à l’avenir. Par ailleurs, la menace de subir une peine n’a pas suffi à le détourner de la commission d’une nouvelle infraction et de récidiver moins d’un mois après cette nouvelle arrestation. En conséquence, la seule exécution de la peine nouvellement prononcée ne suffira vraisemblablement pas à prévenir toute récidive du prévenu. Dès lors, en application de l’art. 46 al. 1 CP, le sursis de la peine prononcée le 13 juillet 2011 par le Ministère public est révoqué et la peine de 45 jours-amende, le montant du jour amende étant fixé à 140 fr., doit être mise à exécution.</w:t>
      </w:r>
    </w:p>
    <w:p>
      <w:r>
        <w:rPr>
          <w:b/>
        </w:rPr>
        <w:t>E. 7</w:t>
      </w:r>
    </w:p>
    <w:p>
      <w:r>
        <w:t>a) Selon l’art. 69 al. 1 CP, alors même qu’aucune personne déterminée n’est punissable, le juge prononce la confiscation des objets qui ont servi ou devaient servir à commettre une infraction ou qui sont le produit d’une infraction, si ces objets</w:t>
      </w:r>
    </w:p>
    <w:p>
      <w:r>
        <w:t>- 12 - compromettent la sécurité des personnes, la morale ou l’ordre public. Le juge peut ordonner que les objets confisqués soient mis hors d’usage ou détruits (al. 2). L’application de l’art. 69 CP est subordonnée à l’existence d’un objet qui compromet concrètement la sécurité des personnes, la morale ou l’ordre public, ainsi qu’à l’établissement d’un lien de connexité entre cet objet et l’infraction qui a été ou devait être commise (Baumann, Basler Kommentar, 2e éd., 2007, n°5 ad art. 69 CP). Lorsque ces conditions sont remplies, le juge doit ordonner d’office la confiscation de sécurité (ATF 130 IV 143, consid. 3.3.1). La jurisprudence exige que le principe de proportionnalité soit alors respecté (Stratenwerth/Wohlers, Schweizerisches Strafgesetzbuch, 2007, n. 7 ad art. 69 CP). Il y a lieu de s’en tenir à l’atteinte la moins grave à la garantie de la propriété lorsque celle-ci suffit à atteindre le but de sécurité, unique, poursuivi par l’art. 69 CP. Si l’objet concerné ne présente un danger que dans les mains de l’auteur, le principe de la proportionnalité commande que cet objet soit réalisé et que le produit de sa vente soit remis à l’ayant droit (ATF 135 I 209 consid. 3.3.2). La confiscation d’objet dangereux n’a pas de caractère répressif (Baumann, op. cit., n°14 ad art. 69 CP). On ne doit pas, par le biais de la confiscation, porter atteinte au patrimoine du condamné et enrichir l’Etat sans justification. Si la réalisation de l’objet à confisquer est possible, il ne se justifie pas de priver le propriétaire ou l’auteur selon les circonstances, du produit de la réalisation et de faire ainsi de la confiscation d’objets dangereux une peine patrimoniale supplémentaire. En pareil cas, la confiscation du produit de la réalisation n’est plus couverte par le but de sécurité de l’atteinte ; disproportionnée, celle-ci viole alors la garantie de la propriété (Baumann, op. cit., n°14 ad art. 69 CP). b) Le Ministère public requiert la confiscation du véhicule C_________, propriété de X_________, et sa dévolution à l’Etat du Valais. Ce véhicule ayant servi à la commission des infractions reprochées au prévenu, à savoir la conduite en état d’ébriété ou en état d’incapacité, il existe un lien de connexité clair entre l’infraction et cet objet. Par ailleurs, la conduite en état d’ébriété ou d’incapacité compromet à l’évidence la sécurité des autres usagers de la route, qu’ils soient piétons ou automobilistes. X_________ ayant conduit de la sorte à trois reprises en l’espace de 16 mois, dont les deux dernières fois à moins d’un mois d’intervalle et au vu de l’absence de prise de conscience du prévenu, il existe un risque concret pour la sécurité si ce véhicule lui était restitué. En conséquence, le véhicule C_________, propriété de X_________, immatriculé VS xxx, est confisqué. Il sera réalisé et le</w:t>
      </w:r>
    </w:p>
    <w:p>
      <w:r>
        <w:t>- 13 - produit de la vente lui sera restitué, afin de tenir compte du principe de proportionnalité évoqué au considérant précédent.</w:t>
      </w:r>
    </w:p>
    <w:p>
      <w:r>
        <w:rPr>
          <w:b/>
        </w:rPr>
        <w:t>E. 8</w:t>
      </w:r>
    </w:p>
    <w:p>
      <w:r>
        <w:t>a) Condamné, X_________ doit supporter les frais de procédure (cf. art. 426 al. 1 CPP). b) Les frais de procédure incluent les débours et l'émolument de justice (cf. art. 422 al. 1 CPP). Ce dernier est compris entre 90 et 5'000 francs pour la procédure devant le ministère public et entre 90 et 2'000 francs pour celle devant le tribunal de district (cf. art. 22 let. b et c LTar). c) Les frais de la procédure d’instruction, comprenant les débours (1'348 fr. 20 fr.) et l’émolument de justice (956 fr.), sont fixés à 2'304 fr. 20. Quant aux frais de jugement, ils doivent être arrêtés à 500 fr., débours compris (huissier : 25 fr.). d) Dès lors, les frais de la présente procédure s’élèvent à 2’804 fr. 20 en tout et sont mis à la charge de X_________, sous déduction du montant de 1’804 fr. 20 déjà versé par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